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502"/>
        <w:gridCol w:w="1502"/>
        <w:gridCol w:w="1503"/>
        <w:gridCol w:w="1503"/>
        <w:gridCol w:w="1503"/>
        <w:gridCol w:w="1503"/>
      </w:tblGrid>
      <w:tr w:rsidR="00E3675F" w:rsidRPr="00F323F6" w14:paraId="59C6C667" w14:textId="77777777" w:rsidTr="00C05334">
        <w:trPr>
          <w:trHeight w:val="449"/>
        </w:trPr>
        <w:tc>
          <w:tcPr>
            <w:tcW w:w="9016" w:type="dxa"/>
            <w:gridSpan w:val="6"/>
            <w:vAlign w:val="center"/>
          </w:tcPr>
          <w:p w14:paraId="7D7A5975" w14:textId="30F32C97" w:rsidR="00E3675F" w:rsidRPr="00F323F6" w:rsidRDefault="00E3675F" w:rsidP="00C05334">
            <w:pPr>
              <w:jc w:val="center"/>
              <w:rPr>
                <w:rFonts w:ascii="Arial" w:hAnsi="Arial" w:cs="Arial"/>
                <w:sz w:val="32"/>
                <w:szCs w:val="32"/>
              </w:rPr>
            </w:pPr>
            <w:r w:rsidRPr="0001526F">
              <w:rPr>
                <w:rFonts w:ascii="Arial" w:hAnsi="Arial" w:cs="Arial"/>
                <w:color w:val="1F4E79" w:themeColor="accent5" w:themeShade="80"/>
                <w:sz w:val="28"/>
                <w:szCs w:val="28"/>
              </w:rPr>
              <w:t xml:space="preserve">~ </w:t>
            </w:r>
            <w:r w:rsidR="00007EAB">
              <w:rPr>
                <w:rFonts w:ascii="Arial" w:hAnsi="Arial" w:cs="Arial"/>
                <w:color w:val="1F4E79" w:themeColor="accent5" w:themeShade="80"/>
                <w:sz w:val="28"/>
                <w:szCs w:val="28"/>
              </w:rPr>
              <w:t>Your Company</w:t>
            </w:r>
            <w:r w:rsidRPr="0001526F">
              <w:rPr>
                <w:rFonts w:ascii="Arial" w:hAnsi="Arial" w:cs="Arial"/>
                <w:color w:val="1F4E79" w:themeColor="accent5" w:themeShade="80"/>
                <w:sz w:val="28"/>
                <w:szCs w:val="28"/>
              </w:rPr>
              <w:t xml:space="preserve"> ~</w:t>
            </w:r>
          </w:p>
        </w:tc>
      </w:tr>
      <w:tr w:rsidR="00E3675F" w:rsidRPr="0001526F" w14:paraId="3D20252B" w14:textId="77777777" w:rsidTr="00C05334">
        <w:trPr>
          <w:trHeight w:val="449"/>
        </w:trPr>
        <w:tc>
          <w:tcPr>
            <w:tcW w:w="1502" w:type="dxa"/>
            <w:shd w:val="clear" w:color="auto" w:fill="E7E6E6" w:themeFill="background2"/>
            <w:vAlign w:val="center"/>
          </w:tcPr>
          <w:p w14:paraId="39B642A6" w14:textId="77777777" w:rsidR="00E3675F" w:rsidRPr="0001526F" w:rsidRDefault="00E3675F" w:rsidP="00C05334">
            <w:pPr>
              <w:jc w:val="center"/>
              <w:rPr>
                <w:rFonts w:ascii="Arial" w:hAnsi="Arial" w:cs="Arial"/>
                <w:color w:val="404040" w:themeColor="text1" w:themeTint="BF"/>
                <w:sz w:val="22"/>
                <w:szCs w:val="22"/>
              </w:rPr>
            </w:pPr>
            <w:r w:rsidRPr="0001526F">
              <w:rPr>
                <w:rFonts w:ascii="Arial" w:hAnsi="Arial" w:cs="Arial"/>
                <w:color w:val="404040" w:themeColor="text1" w:themeTint="BF"/>
              </w:rPr>
              <w:t>Policy No.</w:t>
            </w:r>
          </w:p>
        </w:tc>
        <w:tc>
          <w:tcPr>
            <w:tcW w:w="1502" w:type="dxa"/>
            <w:vAlign w:val="center"/>
          </w:tcPr>
          <w:p w14:paraId="20279CFE" w14:textId="087B0911" w:rsidR="00E3675F" w:rsidRPr="0001526F" w:rsidRDefault="00E3675F" w:rsidP="00C05334">
            <w:pPr>
              <w:jc w:val="center"/>
              <w:rPr>
                <w:rFonts w:ascii="Arial" w:hAnsi="Arial" w:cs="Arial"/>
                <w:color w:val="404040" w:themeColor="text1" w:themeTint="BF"/>
                <w:sz w:val="22"/>
                <w:szCs w:val="22"/>
              </w:rPr>
            </w:pPr>
          </w:p>
        </w:tc>
        <w:tc>
          <w:tcPr>
            <w:tcW w:w="1503" w:type="dxa"/>
            <w:shd w:val="clear" w:color="auto" w:fill="E7E6E6" w:themeFill="background2"/>
            <w:vAlign w:val="center"/>
          </w:tcPr>
          <w:p w14:paraId="2ABE8914" w14:textId="77777777" w:rsidR="00E3675F" w:rsidRPr="0001526F" w:rsidRDefault="00E3675F" w:rsidP="00C05334">
            <w:pPr>
              <w:jc w:val="center"/>
              <w:rPr>
                <w:rFonts w:ascii="Arial" w:hAnsi="Arial" w:cs="Arial"/>
                <w:color w:val="404040" w:themeColor="text1" w:themeTint="BF"/>
                <w:sz w:val="22"/>
                <w:szCs w:val="22"/>
              </w:rPr>
            </w:pPr>
            <w:r w:rsidRPr="0001526F">
              <w:rPr>
                <w:rFonts w:ascii="Arial" w:hAnsi="Arial" w:cs="Arial"/>
                <w:color w:val="404040" w:themeColor="text1" w:themeTint="BF"/>
              </w:rPr>
              <w:t>Date ratified</w:t>
            </w:r>
          </w:p>
        </w:tc>
        <w:tc>
          <w:tcPr>
            <w:tcW w:w="1503" w:type="dxa"/>
            <w:vAlign w:val="center"/>
          </w:tcPr>
          <w:p w14:paraId="6A9D7EB5" w14:textId="77777777" w:rsidR="00E3675F" w:rsidRPr="0001526F" w:rsidRDefault="00E3675F" w:rsidP="00C05334">
            <w:pPr>
              <w:jc w:val="center"/>
              <w:rPr>
                <w:rFonts w:ascii="Arial" w:hAnsi="Arial" w:cs="Arial"/>
                <w:color w:val="404040" w:themeColor="text1" w:themeTint="BF"/>
                <w:sz w:val="22"/>
                <w:szCs w:val="22"/>
              </w:rPr>
            </w:pPr>
          </w:p>
        </w:tc>
        <w:tc>
          <w:tcPr>
            <w:tcW w:w="1503" w:type="dxa"/>
            <w:shd w:val="clear" w:color="auto" w:fill="E7E6E6" w:themeFill="background2"/>
            <w:vAlign w:val="center"/>
          </w:tcPr>
          <w:p w14:paraId="3712D9AB" w14:textId="77777777" w:rsidR="00E3675F" w:rsidRPr="0001526F" w:rsidRDefault="00E3675F" w:rsidP="00C05334">
            <w:pPr>
              <w:jc w:val="center"/>
              <w:rPr>
                <w:rFonts w:ascii="Arial" w:hAnsi="Arial" w:cs="Arial"/>
                <w:color w:val="404040" w:themeColor="text1" w:themeTint="BF"/>
                <w:sz w:val="22"/>
                <w:szCs w:val="22"/>
              </w:rPr>
            </w:pPr>
            <w:r w:rsidRPr="0001526F">
              <w:rPr>
                <w:rFonts w:ascii="Arial" w:hAnsi="Arial" w:cs="Arial"/>
                <w:color w:val="404040" w:themeColor="text1" w:themeTint="BF"/>
              </w:rPr>
              <w:t>Version No</w:t>
            </w:r>
          </w:p>
        </w:tc>
        <w:tc>
          <w:tcPr>
            <w:tcW w:w="1503" w:type="dxa"/>
            <w:vAlign w:val="center"/>
          </w:tcPr>
          <w:p w14:paraId="69354EE2" w14:textId="66D31740" w:rsidR="00E3675F" w:rsidRPr="0001526F" w:rsidRDefault="00E3675F" w:rsidP="00C05334">
            <w:pPr>
              <w:jc w:val="center"/>
              <w:rPr>
                <w:rFonts w:ascii="Arial" w:hAnsi="Arial" w:cs="Arial"/>
                <w:color w:val="404040" w:themeColor="text1" w:themeTint="BF"/>
                <w:sz w:val="22"/>
                <w:szCs w:val="22"/>
              </w:rPr>
            </w:pPr>
          </w:p>
        </w:tc>
      </w:tr>
      <w:tr w:rsidR="00E3675F" w:rsidRPr="0001526F" w14:paraId="385A1757" w14:textId="77777777" w:rsidTr="00C05334">
        <w:trPr>
          <w:trHeight w:val="449"/>
        </w:trPr>
        <w:tc>
          <w:tcPr>
            <w:tcW w:w="1502" w:type="dxa"/>
            <w:shd w:val="clear" w:color="auto" w:fill="E7E6E6" w:themeFill="background2"/>
            <w:vAlign w:val="center"/>
          </w:tcPr>
          <w:p w14:paraId="153EC022" w14:textId="77777777" w:rsidR="00E3675F" w:rsidRPr="0001526F" w:rsidRDefault="00E3675F" w:rsidP="00C05334">
            <w:pPr>
              <w:jc w:val="center"/>
              <w:rPr>
                <w:rFonts w:ascii="Arial" w:hAnsi="Arial" w:cs="Arial"/>
                <w:color w:val="404040" w:themeColor="text1" w:themeTint="BF"/>
                <w:sz w:val="22"/>
                <w:szCs w:val="22"/>
              </w:rPr>
            </w:pPr>
            <w:r w:rsidRPr="0001526F">
              <w:rPr>
                <w:rFonts w:ascii="Arial" w:hAnsi="Arial" w:cs="Arial"/>
                <w:color w:val="404040" w:themeColor="text1" w:themeTint="BF"/>
              </w:rPr>
              <w:t>Approved by</w:t>
            </w:r>
          </w:p>
        </w:tc>
        <w:tc>
          <w:tcPr>
            <w:tcW w:w="1502" w:type="dxa"/>
            <w:vAlign w:val="center"/>
          </w:tcPr>
          <w:p w14:paraId="235DA634" w14:textId="77777777" w:rsidR="00E3675F" w:rsidRPr="0001526F" w:rsidRDefault="00E3675F" w:rsidP="00C05334">
            <w:pPr>
              <w:jc w:val="center"/>
              <w:rPr>
                <w:rFonts w:ascii="Arial" w:hAnsi="Arial" w:cs="Arial"/>
                <w:color w:val="404040" w:themeColor="text1" w:themeTint="BF"/>
                <w:sz w:val="22"/>
                <w:szCs w:val="22"/>
              </w:rPr>
            </w:pPr>
          </w:p>
        </w:tc>
        <w:tc>
          <w:tcPr>
            <w:tcW w:w="1503" w:type="dxa"/>
            <w:shd w:val="clear" w:color="auto" w:fill="E7E6E6" w:themeFill="background2"/>
            <w:vAlign w:val="center"/>
          </w:tcPr>
          <w:p w14:paraId="5ABDE82A" w14:textId="77777777" w:rsidR="00E3675F" w:rsidRPr="0001526F" w:rsidRDefault="00E3675F" w:rsidP="00C05334">
            <w:pPr>
              <w:jc w:val="center"/>
              <w:rPr>
                <w:rFonts w:ascii="Arial" w:hAnsi="Arial" w:cs="Arial"/>
                <w:color w:val="404040" w:themeColor="text1" w:themeTint="BF"/>
                <w:sz w:val="22"/>
                <w:szCs w:val="22"/>
              </w:rPr>
            </w:pPr>
            <w:r w:rsidRPr="0001526F">
              <w:rPr>
                <w:rFonts w:ascii="Arial" w:hAnsi="Arial" w:cs="Arial"/>
                <w:color w:val="404040" w:themeColor="text1" w:themeTint="BF"/>
              </w:rPr>
              <w:t>Ratified by</w:t>
            </w:r>
          </w:p>
        </w:tc>
        <w:tc>
          <w:tcPr>
            <w:tcW w:w="1503" w:type="dxa"/>
            <w:vAlign w:val="center"/>
          </w:tcPr>
          <w:p w14:paraId="428073D7" w14:textId="77777777" w:rsidR="00E3675F" w:rsidRPr="0001526F" w:rsidRDefault="00E3675F" w:rsidP="00C05334">
            <w:pPr>
              <w:jc w:val="center"/>
              <w:rPr>
                <w:rFonts w:ascii="Arial" w:hAnsi="Arial" w:cs="Arial"/>
                <w:color w:val="404040" w:themeColor="text1" w:themeTint="BF"/>
                <w:sz w:val="22"/>
                <w:szCs w:val="22"/>
              </w:rPr>
            </w:pPr>
          </w:p>
        </w:tc>
        <w:tc>
          <w:tcPr>
            <w:tcW w:w="1503" w:type="dxa"/>
            <w:shd w:val="clear" w:color="auto" w:fill="E7E6E6" w:themeFill="background2"/>
            <w:vAlign w:val="center"/>
          </w:tcPr>
          <w:p w14:paraId="54E8DE1D" w14:textId="77777777" w:rsidR="00E3675F" w:rsidRPr="0001526F" w:rsidRDefault="00E3675F" w:rsidP="00C05334">
            <w:pPr>
              <w:jc w:val="center"/>
              <w:rPr>
                <w:rFonts w:ascii="Arial" w:hAnsi="Arial" w:cs="Arial"/>
                <w:color w:val="404040" w:themeColor="text1" w:themeTint="BF"/>
                <w:sz w:val="22"/>
                <w:szCs w:val="22"/>
              </w:rPr>
            </w:pPr>
            <w:r w:rsidRPr="0001526F">
              <w:rPr>
                <w:rFonts w:ascii="Arial" w:hAnsi="Arial" w:cs="Arial"/>
                <w:color w:val="404040" w:themeColor="text1" w:themeTint="BF"/>
              </w:rPr>
              <w:t>Review date</w:t>
            </w:r>
          </w:p>
        </w:tc>
        <w:tc>
          <w:tcPr>
            <w:tcW w:w="1503" w:type="dxa"/>
            <w:vAlign w:val="center"/>
          </w:tcPr>
          <w:p w14:paraId="049DE4AB" w14:textId="77777777" w:rsidR="00E3675F" w:rsidRPr="0001526F" w:rsidRDefault="00E3675F" w:rsidP="00C05334">
            <w:pPr>
              <w:jc w:val="center"/>
              <w:rPr>
                <w:rFonts w:ascii="Arial" w:hAnsi="Arial" w:cs="Arial"/>
                <w:color w:val="404040" w:themeColor="text1" w:themeTint="BF"/>
                <w:sz w:val="22"/>
                <w:szCs w:val="22"/>
              </w:rPr>
            </w:pPr>
          </w:p>
        </w:tc>
      </w:tr>
      <w:tr w:rsidR="00E3675F" w:rsidRPr="00FD229A" w14:paraId="6126A289" w14:textId="77777777" w:rsidTr="00C05334">
        <w:trPr>
          <w:trHeight w:val="453"/>
        </w:trPr>
        <w:tc>
          <w:tcPr>
            <w:tcW w:w="1502" w:type="dxa"/>
          </w:tcPr>
          <w:p w14:paraId="733E2651" w14:textId="77777777" w:rsidR="00E3675F" w:rsidRPr="00FD229A" w:rsidRDefault="00E3675F" w:rsidP="00C05334">
            <w:pPr>
              <w:jc w:val="center"/>
              <w:rPr>
                <w:rFonts w:ascii="Arial" w:hAnsi="Arial" w:cs="Arial"/>
                <w:color w:val="1F4E79" w:themeColor="accent5" w:themeShade="80"/>
              </w:rPr>
            </w:pPr>
          </w:p>
        </w:tc>
        <w:tc>
          <w:tcPr>
            <w:tcW w:w="6011" w:type="dxa"/>
            <w:gridSpan w:val="4"/>
            <w:vAlign w:val="center"/>
          </w:tcPr>
          <w:p w14:paraId="3250D6BB" w14:textId="6B35581A" w:rsidR="00E3675F" w:rsidRPr="00FD229A" w:rsidRDefault="0080443F" w:rsidP="00C05334">
            <w:pPr>
              <w:jc w:val="center"/>
              <w:rPr>
                <w:rFonts w:ascii="Arial" w:hAnsi="Arial" w:cs="Arial"/>
                <w:b/>
                <w:bCs/>
                <w:color w:val="1F4E79" w:themeColor="accent5" w:themeShade="80"/>
              </w:rPr>
            </w:pPr>
            <w:r>
              <w:rPr>
                <w:rFonts w:ascii="Arial" w:hAnsi="Arial" w:cs="Arial"/>
                <w:b/>
                <w:bCs/>
                <w:color w:val="1F4E79" w:themeColor="accent5" w:themeShade="80"/>
                <w:sz w:val="28"/>
                <w:szCs w:val="28"/>
              </w:rPr>
              <w:t>APPEALS</w:t>
            </w:r>
            <w:r w:rsidR="00E3675F" w:rsidRPr="00FD229A">
              <w:rPr>
                <w:rFonts w:ascii="Arial" w:hAnsi="Arial" w:cs="Arial"/>
                <w:b/>
                <w:bCs/>
                <w:color w:val="1F4E79" w:themeColor="accent5" w:themeShade="80"/>
                <w:sz w:val="28"/>
                <w:szCs w:val="28"/>
              </w:rPr>
              <w:t xml:space="preserve"> POLICY</w:t>
            </w:r>
            <w:r w:rsidR="00007EAB">
              <w:rPr>
                <w:rFonts w:ascii="Arial" w:hAnsi="Arial" w:cs="Arial"/>
                <w:b/>
                <w:bCs/>
                <w:color w:val="1F4E79" w:themeColor="accent5" w:themeShade="80"/>
                <w:sz w:val="28"/>
                <w:szCs w:val="28"/>
              </w:rPr>
              <w:t xml:space="preserve"> &amp; PROCEDURE</w:t>
            </w:r>
          </w:p>
        </w:tc>
        <w:tc>
          <w:tcPr>
            <w:tcW w:w="1503" w:type="dxa"/>
          </w:tcPr>
          <w:p w14:paraId="624A8D96" w14:textId="77777777" w:rsidR="00E3675F" w:rsidRPr="00FD229A" w:rsidRDefault="00E3675F" w:rsidP="00C05334">
            <w:pPr>
              <w:jc w:val="center"/>
              <w:rPr>
                <w:rFonts w:ascii="Arial" w:hAnsi="Arial" w:cs="Arial"/>
                <w:color w:val="1F4E79" w:themeColor="accent5" w:themeShade="80"/>
              </w:rPr>
            </w:pPr>
          </w:p>
        </w:tc>
      </w:tr>
    </w:tbl>
    <w:p w14:paraId="4C573DD2" w14:textId="77777777" w:rsidR="006326DD" w:rsidRDefault="006326DD" w:rsidP="00E3675F">
      <w:pPr>
        <w:jc w:val="both"/>
        <w:rPr>
          <w:rFonts w:ascii="Arial" w:hAnsi="Arial" w:cs="Arial"/>
          <w:b/>
          <w:color w:val="1F4E79" w:themeColor="accent5" w:themeShade="80"/>
          <w:sz w:val="22"/>
          <w:szCs w:val="22"/>
        </w:rPr>
      </w:pPr>
    </w:p>
    <w:p w14:paraId="5FD8C9BC" w14:textId="420F8175" w:rsidR="0080443F" w:rsidRPr="0080443F" w:rsidRDefault="0080443F" w:rsidP="0080443F">
      <w:pPr>
        <w:pStyle w:val="Heading2"/>
        <w:spacing w:beforeAutospacing="1" w:after="100" w:afterAutospacing="1"/>
        <w:rPr>
          <w:rFonts w:ascii="Arial" w:hAnsi="Arial" w:cs="Arial"/>
          <w:sz w:val="22"/>
          <w:szCs w:val="22"/>
        </w:rPr>
      </w:pPr>
      <w:r w:rsidRPr="0080443F">
        <w:rPr>
          <w:rFonts w:ascii="Arial" w:hAnsi="Arial" w:cs="Arial"/>
          <w:sz w:val="22"/>
          <w:szCs w:val="22"/>
        </w:rPr>
        <w:t>Application</w:t>
      </w:r>
    </w:p>
    <w:p w14:paraId="56BCB543" w14:textId="77777777" w:rsidR="0080443F" w:rsidRPr="0080443F" w:rsidRDefault="0080443F" w:rsidP="0080443F">
      <w:pPr>
        <w:spacing w:beforeAutospacing="1" w:after="100" w:afterAutospacing="1"/>
        <w:jc w:val="both"/>
        <w:rPr>
          <w:rFonts w:ascii="Arial" w:hAnsi="Arial" w:cs="Arial"/>
          <w:sz w:val="22"/>
          <w:szCs w:val="22"/>
        </w:rPr>
      </w:pPr>
      <w:r w:rsidRPr="0080443F">
        <w:rPr>
          <w:rFonts w:ascii="Arial" w:hAnsi="Arial" w:cs="Arial"/>
          <w:sz w:val="22"/>
          <w:szCs w:val="22"/>
        </w:rPr>
        <w:t xml:space="preserve">We are committed to ensuring that the Company has fair and effective arrangements for dealing with appeals against formal action in accordance with the Company’s disciplinary and grievance procedures. </w:t>
      </w:r>
    </w:p>
    <w:p w14:paraId="2082B045" w14:textId="77777777" w:rsidR="0080443F" w:rsidRPr="0080443F" w:rsidRDefault="0080443F" w:rsidP="0080443F">
      <w:pPr>
        <w:spacing w:beforeAutospacing="1" w:after="100" w:afterAutospacing="1"/>
        <w:jc w:val="both"/>
        <w:rPr>
          <w:rFonts w:ascii="Arial" w:hAnsi="Arial" w:cs="Arial"/>
          <w:sz w:val="22"/>
          <w:szCs w:val="22"/>
        </w:rPr>
      </w:pPr>
      <w:r w:rsidRPr="0080443F">
        <w:rPr>
          <w:rFonts w:ascii="Arial" w:hAnsi="Arial" w:cs="Arial"/>
          <w:sz w:val="22"/>
          <w:szCs w:val="22"/>
        </w:rPr>
        <w:t>This policy applies to an appeal lodged by an employee in connection with:</w:t>
      </w:r>
    </w:p>
    <w:p w14:paraId="50B1143E" w14:textId="0F6581BB" w:rsidR="0080443F" w:rsidRPr="0080443F" w:rsidRDefault="0080443F" w:rsidP="0080443F">
      <w:pPr>
        <w:numPr>
          <w:ilvl w:val="0"/>
          <w:numId w:val="12"/>
        </w:numPr>
        <w:spacing w:beforeAutospacing="1" w:after="100" w:afterAutospacing="1"/>
        <w:jc w:val="both"/>
        <w:rPr>
          <w:rFonts w:ascii="Arial" w:hAnsi="Arial" w:cs="Arial"/>
          <w:sz w:val="22"/>
          <w:szCs w:val="22"/>
        </w:rPr>
      </w:pPr>
      <w:r w:rsidRPr="0080443F">
        <w:rPr>
          <w:rFonts w:ascii="Arial" w:hAnsi="Arial" w:cs="Arial"/>
          <w:sz w:val="22"/>
          <w:szCs w:val="22"/>
        </w:rPr>
        <w:t xml:space="preserve">Disciplinary proceedings taken by the Company against </w:t>
      </w:r>
      <w:r w:rsidR="00007EAB">
        <w:rPr>
          <w:rFonts w:ascii="Arial" w:hAnsi="Arial" w:cs="Arial"/>
          <w:sz w:val="22"/>
          <w:szCs w:val="22"/>
        </w:rPr>
        <w:t>an</w:t>
      </w:r>
      <w:r w:rsidRPr="0080443F">
        <w:rPr>
          <w:rFonts w:ascii="Arial" w:hAnsi="Arial" w:cs="Arial"/>
          <w:sz w:val="22"/>
          <w:szCs w:val="22"/>
        </w:rPr>
        <w:t xml:space="preserve"> employee; or</w:t>
      </w:r>
    </w:p>
    <w:p w14:paraId="34626BCF" w14:textId="77777777" w:rsidR="0080443F" w:rsidRPr="0080443F" w:rsidRDefault="0080443F" w:rsidP="0080443F">
      <w:pPr>
        <w:numPr>
          <w:ilvl w:val="0"/>
          <w:numId w:val="12"/>
        </w:numPr>
        <w:spacing w:beforeAutospacing="1" w:after="100" w:afterAutospacing="1"/>
        <w:jc w:val="both"/>
        <w:rPr>
          <w:rFonts w:ascii="Arial" w:hAnsi="Arial" w:cs="Arial"/>
          <w:sz w:val="22"/>
          <w:szCs w:val="22"/>
        </w:rPr>
      </w:pPr>
      <w:r w:rsidRPr="0080443F">
        <w:rPr>
          <w:rFonts w:ascii="Arial" w:hAnsi="Arial" w:cs="Arial"/>
          <w:sz w:val="22"/>
          <w:szCs w:val="22"/>
        </w:rPr>
        <w:t>A grievance lodged by an employee.</w:t>
      </w:r>
    </w:p>
    <w:p w14:paraId="1D2F2DDE" w14:textId="1CBBA00E" w:rsidR="0080443F" w:rsidRPr="0080443F" w:rsidRDefault="0080443F" w:rsidP="0080443F">
      <w:pPr>
        <w:spacing w:beforeAutospacing="1" w:after="100" w:afterAutospacing="1"/>
        <w:jc w:val="both"/>
        <w:rPr>
          <w:rFonts w:ascii="Arial" w:hAnsi="Arial" w:cs="Arial"/>
          <w:sz w:val="22"/>
          <w:szCs w:val="22"/>
        </w:rPr>
      </w:pPr>
      <w:r w:rsidRPr="0080443F">
        <w:rPr>
          <w:rFonts w:ascii="Arial" w:hAnsi="Arial" w:cs="Arial"/>
          <w:sz w:val="22"/>
          <w:szCs w:val="22"/>
        </w:rPr>
        <w:t xml:space="preserve">Employees do not </w:t>
      </w:r>
      <w:r>
        <w:rPr>
          <w:rFonts w:ascii="Arial" w:hAnsi="Arial" w:cs="Arial"/>
          <w:sz w:val="22"/>
          <w:szCs w:val="22"/>
        </w:rPr>
        <w:t xml:space="preserve">usually </w:t>
      </w:r>
      <w:r w:rsidRPr="0080443F">
        <w:rPr>
          <w:rFonts w:ascii="Arial" w:hAnsi="Arial" w:cs="Arial"/>
          <w:sz w:val="22"/>
          <w:szCs w:val="22"/>
        </w:rPr>
        <w:t xml:space="preserve">have the right to appeal against dismissal as a result of unsuccessful completion of a probation period, in respect of which this policy does not apply. </w:t>
      </w:r>
    </w:p>
    <w:p w14:paraId="1FAFA09A" w14:textId="0DFDE182" w:rsidR="0080443F" w:rsidRPr="0080443F" w:rsidRDefault="0080443F" w:rsidP="0080443F">
      <w:pPr>
        <w:pStyle w:val="Heading2"/>
        <w:spacing w:beforeAutospacing="1" w:after="100" w:afterAutospacing="1"/>
        <w:rPr>
          <w:rFonts w:ascii="Arial" w:hAnsi="Arial" w:cs="Arial"/>
          <w:sz w:val="22"/>
          <w:szCs w:val="22"/>
        </w:rPr>
      </w:pPr>
      <w:r w:rsidRPr="0080443F">
        <w:rPr>
          <w:rFonts w:ascii="Arial" w:hAnsi="Arial" w:cs="Arial"/>
          <w:sz w:val="22"/>
          <w:szCs w:val="22"/>
        </w:rPr>
        <w:t>Objectives</w:t>
      </w:r>
    </w:p>
    <w:p w14:paraId="3046506F" w14:textId="77777777" w:rsidR="0080443F" w:rsidRPr="0080443F" w:rsidRDefault="0080443F" w:rsidP="0080443F">
      <w:pPr>
        <w:spacing w:beforeAutospacing="1" w:after="100" w:afterAutospacing="1"/>
        <w:jc w:val="both"/>
        <w:rPr>
          <w:rFonts w:ascii="Arial" w:hAnsi="Arial" w:cs="Arial"/>
          <w:sz w:val="22"/>
          <w:szCs w:val="22"/>
        </w:rPr>
      </w:pPr>
      <w:r w:rsidRPr="0080443F">
        <w:rPr>
          <w:rFonts w:ascii="Arial" w:hAnsi="Arial" w:cs="Arial"/>
          <w:sz w:val="22"/>
          <w:szCs w:val="22"/>
        </w:rPr>
        <w:t>The objectives of this policy are to:</w:t>
      </w:r>
    </w:p>
    <w:p w14:paraId="14888280" w14:textId="77777777" w:rsidR="0080443F" w:rsidRPr="0080443F" w:rsidRDefault="0080443F" w:rsidP="0080443F">
      <w:pPr>
        <w:numPr>
          <w:ilvl w:val="0"/>
          <w:numId w:val="13"/>
        </w:numPr>
        <w:spacing w:beforeAutospacing="1" w:after="100" w:afterAutospacing="1"/>
        <w:jc w:val="both"/>
        <w:rPr>
          <w:rFonts w:ascii="Arial" w:hAnsi="Arial" w:cs="Arial"/>
          <w:sz w:val="22"/>
          <w:szCs w:val="22"/>
        </w:rPr>
      </w:pPr>
      <w:r w:rsidRPr="0080443F">
        <w:rPr>
          <w:rFonts w:ascii="Arial" w:hAnsi="Arial" w:cs="Arial"/>
          <w:sz w:val="22"/>
          <w:szCs w:val="22"/>
        </w:rPr>
        <w:t xml:space="preserve">Promote the Company as a fair employer and ensure that we meet all relevant legal requirements regarding any formal action which affects an employee. </w:t>
      </w:r>
    </w:p>
    <w:p w14:paraId="5403299D" w14:textId="77777777" w:rsidR="0080443F" w:rsidRPr="0080443F" w:rsidRDefault="0080443F" w:rsidP="0080443F">
      <w:pPr>
        <w:numPr>
          <w:ilvl w:val="0"/>
          <w:numId w:val="13"/>
        </w:numPr>
        <w:spacing w:beforeAutospacing="1" w:after="100" w:afterAutospacing="1"/>
        <w:jc w:val="both"/>
        <w:rPr>
          <w:rFonts w:ascii="Arial" w:hAnsi="Arial" w:cs="Arial"/>
          <w:sz w:val="22"/>
          <w:szCs w:val="22"/>
        </w:rPr>
      </w:pPr>
      <w:r w:rsidRPr="0080443F">
        <w:rPr>
          <w:rFonts w:ascii="Arial" w:hAnsi="Arial" w:cs="Arial"/>
          <w:sz w:val="22"/>
          <w:szCs w:val="22"/>
        </w:rPr>
        <w:t xml:space="preserve">Ensure that lawful, </w:t>
      </w:r>
      <w:proofErr w:type="gramStart"/>
      <w:r w:rsidRPr="0080443F">
        <w:rPr>
          <w:rFonts w:ascii="Arial" w:hAnsi="Arial" w:cs="Arial"/>
          <w:sz w:val="22"/>
          <w:szCs w:val="22"/>
        </w:rPr>
        <w:t>non-discriminatory</w:t>
      </w:r>
      <w:proofErr w:type="gramEnd"/>
      <w:r w:rsidRPr="0080443F">
        <w:rPr>
          <w:rFonts w:ascii="Arial" w:hAnsi="Arial" w:cs="Arial"/>
          <w:sz w:val="22"/>
          <w:szCs w:val="22"/>
        </w:rPr>
        <w:t xml:space="preserve"> and effective arrangements exist for dealing with appeal hearings. </w:t>
      </w:r>
    </w:p>
    <w:p w14:paraId="18603FF5" w14:textId="77777777" w:rsidR="0080443F" w:rsidRPr="0080443F" w:rsidRDefault="0080443F" w:rsidP="0080443F">
      <w:pPr>
        <w:numPr>
          <w:ilvl w:val="0"/>
          <w:numId w:val="13"/>
        </w:numPr>
        <w:spacing w:beforeAutospacing="1" w:after="100" w:afterAutospacing="1"/>
        <w:jc w:val="both"/>
        <w:rPr>
          <w:rFonts w:ascii="Arial" w:hAnsi="Arial" w:cs="Arial"/>
          <w:sz w:val="22"/>
          <w:szCs w:val="22"/>
        </w:rPr>
      </w:pPr>
      <w:r w:rsidRPr="0080443F">
        <w:rPr>
          <w:rFonts w:ascii="Arial" w:hAnsi="Arial" w:cs="Arial"/>
          <w:sz w:val="22"/>
          <w:szCs w:val="22"/>
        </w:rPr>
        <w:t xml:space="preserve">Ensure that all employees are treated in a fair and consistent manner. </w:t>
      </w:r>
    </w:p>
    <w:p w14:paraId="3F825E44" w14:textId="77777777" w:rsidR="0080443F" w:rsidRPr="0080443F" w:rsidRDefault="0080443F" w:rsidP="0080443F">
      <w:pPr>
        <w:numPr>
          <w:ilvl w:val="0"/>
          <w:numId w:val="13"/>
        </w:numPr>
        <w:spacing w:beforeAutospacing="1" w:after="100" w:afterAutospacing="1"/>
        <w:jc w:val="both"/>
        <w:rPr>
          <w:rFonts w:ascii="Arial" w:hAnsi="Arial" w:cs="Arial"/>
          <w:sz w:val="22"/>
          <w:szCs w:val="22"/>
        </w:rPr>
      </w:pPr>
      <w:r w:rsidRPr="0080443F">
        <w:rPr>
          <w:rFonts w:ascii="Arial" w:hAnsi="Arial" w:cs="Arial"/>
          <w:sz w:val="22"/>
          <w:szCs w:val="22"/>
        </w:rPr>
        <w:t>Establish a framework for employees wishing to appeal, and for managers hearing appeals, and to ensure that parties work within that framework.</w:t>
      </w:r>
    </w:p>
    <w:p w14:paraId="19B8D8F6" w14:textId="60F3BED1" w:rsidR="0080443F" w:rsidRPr="0080443F" w:rsidRDefault="0080443F" w:rsidP="0080443F">
      <w:pPr>
        <w:pStyle w:val="Heading2"/>
        <w:spacing w:beforeAutospacing="1" w:after="100" w:afterAutospacing="1"/>
        <w:rPr>
          <w:rFonts w:ascii="Arial" w:hAnsi="Arial" w:cs="Arial"/>
          <w:sz w:val="22"/>
          <w:szCs w:val="22"/>
        </w:rPr>
      </w:pPr>
      <w:r w:rsidRPr="0080443F">
        <w:rPr>
          <w:rFonts w:ascii="Arial" w:hAnsi="Arial" w:cs="Arial"/>
          <w:sz w:val="22"/>
          <w:szCs w:val="22"/>
        </w:rPr>
        <w:t>Appeal Officers</w:t>
      </w:r>
    </w:p>
    <w:p w14:paraId="287E7FC6" w14:textId="77777777" w:rsidR="0080443F" w:rsidRPr="0080443F" w:rsidRDefault="0080443F" w:rsidP="0080443F">
      <w:pPr>
        <w:spacing w:beforeAutospacing="1" w:after="100" w:afterAutospacing="1"/>
        <w:jc w:val="both"/>
        <w:rPr>
          <w:rFonts w:ascii="Arial" w:hAnsi="Arial" w:cs="Arial"/>
          <w:sz w:val="22"/>
          <w:szCs w:val="22"/>
        </w:rPr>
      </w:pPr>
      <w:r w:rsidRPr="0080443F">
        <w:rPr>
          <w:rFonts w:ascii="Arial" w:hAnsi="Arial" w:cs="Arial"/>
          <w:sz w:val="22"/>
          <w:szCs w:val="22"/>
        </w:rPr>
        <w:t xml:space="preserve">In every case, appeal hearings should be chaired by a more senior employee. </w:t>
      </w:r>
    </w:p>
    <w:p w14:paraId="358FABDB" w14:textId="52172DBF" w:rsidR="0080443F" w:rsidRPr="0080443F" w:rsidRDefault="0080443F" w:rsidP="0080443F">
      <w:pPr>
        <w:spacing w:beforeAutospacing="1" w:after="100" w:afterAutospacing="1"/>
        <w:jc w:val="both"/>
        <w:rPr>
          <w:rFonts w:ascii="Arial" w:hAnsi="Arial" w:cs="Arial"/>
          <w:sz w:val="22"/>
          <w:szCs w:val="22"/>
        </w:rPr>
      </w:pPr>
      <w:r w:rsidRPr="0080443F">
        <w:rPr>
          <w:rFonts w:ascii="Arial" w:hAnsi="Arial" w:cs="Arial"/>
          <w:sz w:val="22"/>
          <w:szCs w:val="22"/>
        </w:rPr>
        <w:t>Appeals against dismissal should ordinarily be heard by a</w:t>
      </w:r>
      <w:r>
        <w:rPr>
          <w:rFonts w:ascii="Arial" w:hAnsi="Arial" w:cs="Arial"/>
          <w:sz w:val="22"/>
          <w:szCs w:val="22"/>
        </w:rPr>
        <w:t xml:space="preserve"> </w:t>
      </w:r>
      <w:r w:rsidRPr="00007EAB">
        <w:rPr>
          <w:rFonts w:ascii="Arial" w:hAnsi="Arial" w:cs="Arial"/>
          <w:sz w:val="22"/>
          <w:szCs w:val="22"/>
          <w:highlight w:val="yellow"/>
        </w:rPr>
        <w:t>Director</w:t>
      </w:r>
      <w:r>
        <w:rPr>
          <w:rFonts w:ascii="Arial" w:hAnsi="Arial" w:cs="Arial"/>
          <w:sz w:val="22"/>
          <w:szCs w:val="22"/>
        </w:rPr>
        <w:t xml:space="preserve">. In certain cases, </w:t>
      </w:r>
      <w:r w:rsidR="00007EAB">
        <w:rPr>
          <w:rFonts w:ascii="Arial" w:hAnsi="Arial" w:cs="Arial"/>
          <w:sz w:val="22"/>
          <w:szCs w:val="22"/>
        </w:rPr>
        <w:t xml:space="preserve">the Company </w:t>
      </w:r>
      <w:r>
        <w:rPr>
          <w:rFonts w:ascii="Arial" w:hAnsi="Arial" w:cs="Arial"/>
          <w:sz w:val="22"/>
          <w:szCs w:val="22"/>
        </w:rPr>
        <w:t xml:space="preserve">may </w:t>
      </w:r>
      <w:r w:rsidR="00007EAB">
        <w:rPr>
          <w:rFonts w:ascii="Arial" w:hAnsi="Arial" w:cs="Arial"/>
          <w:sz w:val="22"/>
          <w:szCs w:val="22"/>
        </w:rPr>
        <w:t xml:space="preserve">appoint </w:t>
      </w:r>
      <w:r>
        <w:rPr>
          <w:rFonts w:ascii="Arial" w:hAnsi="Arial" w:cs="Arial"/>
          <w:sz w:val="22"/>
          <w:szCs w:val="22"/>
        </w:rPr>
        <w:t>an independent consultant</w:t>
      </w:r>
      <w:r w:rsidR="00007EAB">
        <w:rPr>
          <w:rFonts w:ascii="Arial" w:hAnsi="Arial" w:cs="Arial"/>
          <w:sz w:val="22"/>
          <w:szCs w:val="22"/>
        </w:rPr>
        <w:t xml:space="preserve"> or HR professional to hear an appeal, but this shall be at the Company’s discretion</w:t>
      </w:r>
      <w:r>
        <w:rPr>
          <w:rFonts w:ascii="Arial" w:hAnsi="Arial" w:cs="Arial"/>
          <w:sz w:val="22"/>
          <w:szCs w:val="22"/>
        </w:rPr>
        <w:t>.</w:t>
      </w:r>
    </w:p>
    <w:p w14:paraId="63C0CC45" w14:textId="5FECFD7B" w:rsidR="0080443F" w:rsidRPr="0080443F" w:rsidRDefault="0080443F" w:rsidP="0080443F">
      <w:pPr>
        <w:pStyle w:val="Heading2"/>
        <w:spacing w:beforeAutospacing="1" w:after="100" w:afterAutospacing="1"/>
        <w:rPr>
          <w:rFonts w:ascii="Arial" w:hAnsi="Arial" w:cs="Arial"/>
          <w:sz w:val="22"/>
          <w:szCs w:val="22"/>
        </w:rPr>
      </w:pPr>
      <w:r w:rsidRPr="0080443F">
        <w:rPr>
          <w:rFonts w:ascii="Arial" w:hAnsi="Arial" w:cs="Arial"/>
          <w:sz w:val="22"/>
          <w:szCs w:val="22"/>
        </w:rPr>
        <w:t>The Right of Appeal</w:t>
      </w:r>
    </w:p>
    <w:p w14:paraId="429B1C3A" w14:textId="77777777" w:rsidR="0080443F" w:rsidRPr="0080443F" w:rsidRDefault="0080443F" w:rsidP="0080443F">
      <w:pPr>
        <w:spacing w:beforeAutospacing="1" w:after="100" w:afterAutospacing="1"/>
        <w:jc w:val="both"/>
        <w:rPr>
          <w:rFonts w:ascii="Arial" w:hAnsi="Arial" w:cs="Arial"/>
          <w:sz w:val="22"/>
          <w:szCs w:val="22"/>
        </w:rPr>
      </w:pPr>
      <w:r w:rsidRPr="0080443F">
        <w:rPr>
          <w:rFonts w:ascii="Arial" w:hAnsi="Arial" w:cs="Arial"/>
          <w:sz w:val="22"/>
          <w:szCs w:val="22"/>
        </w:rPr>
        <w:t>Under this policy, an employee will have the right to appeal against any formal action taken under the Company’s disciplinary or grievance procedure, save where it is expressly stated otherwise as part of the procedure.</w:t>
      </w:r>
    </w:p>
    <w:p w14:paraId="5396B4CF" w14:textId="77777777" w:rsidR="0080443F" w:rsidRPr="0080443F" w:rsidRDefault="0080443F" w:rsidP="0080443F">
      <w:pPr>
        <w:spacing w:beforeAutospacing="1" w:after="100" w:afterAutospacing="1"/>
        <w:jc w:val="both"/>
        <w:rPr>
          <w:rFonts w:ascii="Arial" w:hAnsi="Arial" w:cs="Arial"/>
          <w:sz w:val="22"/>
          <w:szCs w:val="22"/>
        </w:rPr>
      </w:pPr>
      <w:r w:rsidRPr="0080443F">
        <w:rPr>
          <w:rFonts w:ascii="Arial" w:hAnsi="Arial" w:cs="Arial"/>
          <w:sz w:val="22"/>
          <w:szCs w:val="22"/>
        </w:rPr>
        <w:lastRenderedPageBreak/>
        <w:t xml:space="preserve">If an employee wishes to appeal, then they must do so in writing </w:t>
      </w:r>
      <w:r w:rsidRPr="00007EAB">
        <w:rPr>
          <w:rFonts w:ascii="Arial" w:hAnsi="Arial" w:cs="Arial"/>
          <w:sz w:val="22"/>
          <w:szCs w:val="22"/>
          <w:highlight w:val="yellow"/>
        </w:rPr>
        <w:t>within five working days</w:t>
      </w:r>
      <w:r w:rsidRPr="0080443F">
        <w:rPr>
          <w:rFonts w:ascii="Arial" w:hAnsi="Arial" w:cs="Arial"/>
          <w:sz w:val="22"/>
          <w:szCs w:val="22"/>
        </w:rPr>
        <w:t xml:space="preserve"> of receipt of written confirmation of the decision. Receipt of a letter will be deemed to have taken place two days after posting if sent by first class post. </w:t>
      </w:r>
    </w:p>
    <w:p w14:paraId="57A35DF0" w14:textId="77777777" w:rsidR="0080443F" w:rsidRPr="0080443F" w:rsidRDefault="0080443F" w:rsidP="0080443F">
      <w:pPr>
        <w:spacing w:beforeAutospacing="1" w:after="100" w:afterAutospacing="1"/>
        <w:jc w:val="both"/>
        <w:rPr>
          <w:rFonts w:ascii="Arial" w:hAnsi="Arial" w:cs="Arial"/>
          <w:b/>
          <w:sz w:val="22"/>
          <w:szCs w:val="22"/>
        </w:rPr>
      </w:pPr>
      <w:r w:rsidRPr="0080443F">
        <w:rPr>
          <w:rFonts w:ascii="Arial" w:hAnsi="Arial" w:cs="Arial"/>
          <w:sz w:val="22"/>
          <w:szCs w:val="22"/>
        </w:rPr>
        <w:t xml:space="preserve">A letter exercising a right of appeal must set out the grounds for doing so. The Company is not obliged to hear an appeal against a decision that does not set out the grounds of appeal or is otherwise not sent in compliance with this policy. </w:t>
      </w:r>
    </w:p>
    <w:p w14:paraId="08B7107A" w14:textId="62C259D2" w:rsidR="0080443F" w:rsidRPr="0080443F" w:rsidRDefault="0080443F" w:rsidP="0080443F">
      <w:pPr>
        <w:pStyle w:val="Heading2"/>
        <w:spacing w:beforeAutospacing="1" w:after="100" w:afterAutospacing="1"/>
        <w:rPr>
          <w:rFonts w:ascii="Arial" w:hAnsi="Arial" w:cs="Arial"/>
          <w:sz w:val="22"/>
          <w:szCs w:val="22"/>
        </w:rPr>
      </w:pPr>
      <w:r w:rsidRPr="0080443F">
        <w:rPr>
          <w:rFonts w:ascii="Arial" w:hAnsi="Arial" w:cs="Arial"/>
          <w:sz w:val="22"/>
          <w:szCs w:val="22"/>
        </w:rPr>
        <w:t xml:space="preserve">Grounds of Appeal </w:t>
      </w:r>
    </w:p>
    <w:sectPr w:rsidR="0080443F" w:rsidRPr="0080443F" w:rsidSect="00B14E34">
      <w:footerReference w:type="default" r:id="rId7"/>
      <w:pgSz w:w="11906" w:h="16838"/>
      <w:pgMar w:top="993"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BA6BF" w14:textId="77777777" w:rsidR="00D95D4A" w:rsidRDefault="00D95D4A" w:rsidP="00B14E34">
      <w:pPr>
        <w:spacing w:before="0" w:after="0" w:line="240" w:lineRule="auto"/>
      </w:pPr>
      <w:r>
        <w:separator/>
      </w:r>
    </w:p>
  </w:endnote>
  <w:endnote w:type="continuationSeparator" w:id="0">
    <w:p w14:paraId="2E171F7A" w14:textId="77777777" w:rsidR="00D95D4A" w:rsidRDefault="00D95D4A" w:rsidP="00B14E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504048"/>
      <w:docPartObj>
        <w:docPartGallery w:val="Page Numbers (Bottom of Page)"/>
        <w:docPartUnique/>
      </w:docPartObj>
    </w:sdtPr>
    <w:sdtEndPr>
      <w:rPr>
        <w:noProof/>
      </w:rPr>
    </w:sdtEndPr>
    <w:sdtContent>
      <w:p w14:paraId="57D7DA62" w14:textId="06C679DF" w:rsidR="00B14E34" w:rsidRDefault="00B14E34">
        <w:pPr>
          <w:pStyle w:val="Footer"/>
          <w:jc w:val="right"/>
        </w:pPr>
        <w:r>
          <w:fldChar w:fldCharType="begin"/>
        </w:r>
        <w:r>
          <w:instrText xml:space="preserve"> PAGE   \* MERGEFORMAT </w:instrText>
        </w:r>
        <w:r>
          <w:fldChar w:fldCharType="separate"/>
        </w:r>
        <w:r w:rsidR="006326DD">
          <w:rPr>
            <w:noProof/>
          </w:rPr>
          <w:t>3</w:t>
        </w:r>
        <w:r>
          <w:rPr>
            <w:noProof/>
          </w:rPr>
          <w:fldChar w:fldCharType="end"/>
        </w:r>
      </w:p>
    </w:sdtContent>
  </w:sdt>
  <w:p w14:paraId="4CB52252" w14:textId="77777777" w:rsidR="00B14E34" w:rsidRDefault="00B14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540EA" w14:textId="77777777" w:rsidR="00D95D4A" w:rsidRDefault="00D95D4A" w:rsidP="00B14E34">
      <w:pPr>
        <w:spacing w:before="0" w:after="0" w:line="240" w:lineRule="auto"/>
      </w:pPr>
      <w:r>
        <w:separator/>
      </w:r>
    </w:p>
  </w:footnote>
  <w:footnote w:type="continuationSeparator" w:id="0">
    <w:p w14:paraId="216C3919" w14:textId="77777777" w:rsidR="00D95D4A" w:rsidRDefault="00D95D4A" w:rsidP="00B14E3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631BB"/>
    <w:multiLevelType w:val="hybridMultilevel"/>
    <w:tmpl w:val="CA9EA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AA246A"/>
    <w:multiLevelType w:val="hybridMultilevel"/>
    <w:tmpl w:val="2DF46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86D58"/>
    <w:multiLevelType w:val="hybridMultilevel"/>
    <w:tmpl w:val="42F04DA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20B613D7"/>
    <w:multiLevelType w:val="hybridMultilevel"/>
    <w:tmpl w:val="800A5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BC2565"/>
    <w:multiLevelType w:val="hybridMultilevel"/>
    <w:tmpl w:val="4B74F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3220CA"/>
    <w:multiLevelType w:val="hybridMultilevel"/>
    <w:tmpl w:val="3A8C7E4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1A51B5"/>
    <w:multiLevelType w:val="hybridMultilevel"/>
    <w:tmpl w:val="9CD89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033FF4"/>
    <w:multiLevelType w:val="hybridMultilevel"/>
    <w:tmpl w:val="72C6B534"/>
    <w:lvl w:ilvl="0" w:tplc="EE76B4E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0ED01D8"/>
    <w:multiLevelType w:val="hybridMultilevel"/>
    <w:tmpl w:val="BE2C38B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9" w15:restartNumberingAfterBreak="0">
    <w:nsid w:val="4F5F3F04"/>
    <w:multiLevelType w:val="hybridMultilevel"/>
    <w:tmpl w:val="44C6B304"/>
    <w:lvl w:ilvl="0" w:tplc="5D7CC8C8">
      <w:start w:val="1"/>
      <w:numFmt w:val="lowerLetter"/>
      <w:lvlText w:val="(%1)"/>
      <w:lvlJc w:val="left"/>
      <w:pPr>
        <w:tabs>
          <w:tab w:val="num" w:pos="1080"/>
        </w:tabs>
        <w:ind w:left="1080" w:hanging="720"/>
      </w:pPr>
      <w:rPr>
        <w:rFonts w:hint="default"/>
      </w:rPr>
    </w:lvl>
    <w:lvl w:ilvl="1" w:tplc="22600D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1F043A"/>
    <w:multiLevelType w:val="hybridMultilevel"/>
    <w:tmpl w:val="82C6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E37CCA"/>
    <w:multiLevelType w:val="hybridMultilevel"/>
    <w:tmpl w:val="5E28993C"/>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2" w15:restartNumberingAfterBreak="0">
    <w:nsid w:val="633771F5"/>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72E1070"/>
    <w:multiLevelType w:val="hybridMultilevel"/>
    <w:tmpl w:val="D0224A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FE67E9"/>
    <w:multiLevelType w:val="hybridMultilevel"/>
    <w:tmpl w:val="DEFC1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A13C2A"/>
    <w:multiLevelType w:val="hybridMultilevel"/>
    <w:tmpl w:val="B4B63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0618664">
    <w:abstractNumId w:val="12"/>
  </w:num>
  <w:num w:numId="2" w16cid:durableId="2012874238">
    <w:abstractNumId w:val="11"/>
  </w:num>
  <w:num w:numId="3" w16cid:durableId="538857589">
    <w:abstractNumId w:val="5"/>
  </w:num>
  <w:num w:numId="4" w16cid:durableId="1851212419">
    <w:abstractNumId w:val="14"/>
  </w:num>
  <w:num w:numId="5" w16cid:durableId="552928649">
    <w:abstractNumId w:val="4"/>
  </w:num>
  <w:num w:numId="6" w16cid:durableId="38089566">
    <w:abstractNumId w:val="3"/>
  </w:num>
  <w:num w:numId="7" w16cid:durableId="1791361245">
    <w:abstractNumId w:val="0"/>
  </w:num>
  <w:num w:numId="8" w16cid:durableId="177931902">
    <w:abstractNumId w:val="9"/>
  </w:num>
  <w:num w:numId="9" w16cid:durableId="1065690561">
    <w:abstractNumId w:val="7"/>
  </w:num>
  <w:num w:numId="10" w16cid:durableId="1868566253">
    <w:abstractNumId w:val="13"/>
  </w:num>
  <w:num w:numId="11" w16cid:durableId="953557972">
    <w:abstractNumId w:val="2"/>
  </w:num>
  <w:num w:numId="12" w16cid:durableId="38019070">
    <w:abstractNumId w:val="8"/>
  </w:num>
  <w:num w:numId="13" w16cid:durableId="1566526950">
    <w:abstractNumId w:val="15"/>
  </w:num>
  <w:num w:numId="14" w16cid:durableId="829906605">
    <w:abstractNumId w:val="6"/>
  </w:num>
  <w:num w:numId="15" w16cid:durableId="458648936">
    <w:abstractNumId w:val="1"/>
  </w:num>
  <w:num w:numId="16" w16cid:durableId="19924460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207"/>
    <w:rsid w:val="00007EAB"/>
    <w:rsid w:val="000D182B"/>
    <w:rsid w:val="0011396E"/>
    <w:rsid w:val="00177DEA"/>
    <w:rsid w:val="001C69BC"/>
    <w:rsid w:val="006326DD"/>
    <w:rsid w:val="00803207"/>
    <w:rsid w:val="0080443F"/>
    <w:rsid w:val="00830564"/>
    <w:rsid w:val="00842156"/>
    <w:rsid w:val="0086364A"/>
    <w:rsid w:val="00925C6B"/>
    <w:rsid w:val="009F271E"/>
    <w:rsid w:val="00B14E34"/>
    <w:rsid w:val="00CB76C6"/>
    <w:rsid w:val="00D95D4A"/>
    <w:rsid w:val="00DE7A48"/>
    <w:rsid w:val="00E3675F"/>
    <w:rsid w:val="00F25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70C01"/>
  <w15:chartTrackingRefBased/>
  <w15:docId w15:val="{471949B3-67B9-4516-AFA5-4F53FDCD3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DEA"/>
  </w:style>
  <w:style w:type="paragraph" w:styleId="Heading1">
    <w:name w:val="heading 1"/>
    <w:basedOn w:val="Normal"/>
    <w:next w:val="Normal"/>
    <w:link w:val="Heading1Char"/>
    <w:uiPriority w:val="9"/>
    <w:qFormat/>
    <w:rsid w:val="00177DEA"/>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177DE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177DEA"/>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177DEA"/>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177DEA"/>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177DEA"/>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177DEA"/>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177DE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77DE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75F"/>
    <w:pPr>
      <w:ind w:left="720"/>
      <w:contextualSpacing/>
    </w:pPr>
  </w:style>
  <w:style w:type="table" w:styleId="TableGrid">
    <w:name w:val="Table Grid"/>
    <w:basedOn w:val="TableNormal"/>
    <w:uiPriority w:val="39"/>
    <w:rsid w:val="00E36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77DEA"/>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177DEA"/>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177DEA"/>
    <w:rPr>
      <w:caps/>
      <w:color w:val="1F3763" w:themeColor="accent1" w:themeShade="7F"/>
      <w:spacing w:val="15"/>
    </w:rPr>
  </w:style>
  <w:style w:type="character" w:customStyle="1" w:styleId="Heading4Char">
    <w:name w:val="Heading 4 Char"/>
    <w:basedOn w:val="DefaultParagraphFont"/>
    <w:link w:val="Heading4"/>
    <w:uiPriority w:val="9"/>
    <w:semiHidden/>
    <w:rsid w:val="00177DEA"/>
    <w:rPr>
      <w:caps/>
      <w:color w:val="2F5496" w:themeColor="accent1" w:themeShade="BF"/>
      <w:spacing w:val="10"/>
    </w:rPr>
  </w:style>
  <w:style w:type="character" w:customStyle="1" w:styleId="Heading5Char">
    <w:name w:val="Heading 5 Char"/>
    <w:basedOn w:val="DefaultParagraphFont"/>
    <w:link w:val="Heading5"/>
    <w:uiPriority w:val="9"/>
    <w:semiHidden/>
    <w:rsid w:val="00177DEA"/>
    <w:rPr>
      <w:caps/>
      <w:color w:val="2F5496" w:themeColor="accent1" w:themeShade="BF"/>
      <w:spacing w:val="10"/>
    </w:rPr>
  </w:style>
  <w:style w:type="character" w:customStyle="1" w:styleId="Heading6Char">
    <w:name w:val="Heading 6 Char"/>
    <w:basedOn w:val="DefaultParagraphFont"/>
    <w:link w:val="Heading6"/>
    <w:uiPriority w:val="9"/>
    <w:semiHidden/>
    <w:rsid w:val="00177DEA"/>
    <w:rPr>
      <w:caps/>
      <w:color w:val="2F5496" w:themeColor="accent1" w:themeShade="BF"/>
      <w:spacing w:val="10"/>
    </w:rPr>
  </w:style>
  <w:style w:type="character" w:customStyle="1" w:styleId="Heading7Char">
    <w:name w:val="Heading 7 Char"/>
    <w:basedOn w:val="DefaultParagraphFont"/>
    <w:link w:val="Heading7"/>
    <w:uiPriority w:val="9"/>
    <w:semiHidden/>
    <w:rsid w:val="00177DEA"/>
    <w:rPr>
      <w:caps/>
      <w:color w:val="2F5496" w:themeColor="accent1" w:themeShade="BF"/>
      <w:spacing w:val="10"/>
    </w:rPr>
  </w:style>
  <w:style w:type="character" w:customStyle="1" w:styleId="Heading8Char">
    <w:name w:val="Heading 8 Char"/>
    <w:basedOn w:val="DefaultParagraphFont"/>
    <w:link w:val="Heading8"/>
    <w:uiPriority w:val="9"/>
    <w:semiHidden/>
    <w:rsid w:val="00177DEA"/>
    <w:rPr>
      <w:caps/>
      <w:spacing w:val="10"/>
      <w:sz w:val="18"/>
      <w:szCs w:val="18"/>
    </w:rPr>
  </w:style>
  <w:style w:type="character" w:customStyle="1" w:styleId="Heading9Char">
    <w:name w:val="Heading 9 Char"/>
    <w:basedOn w:val="DefaultParagraphFont"/>
    <w:link w:val="Heading9"/>
    <w:uiPriority w:val="9"/>
    <w:semiHidden/>
    <w:rsid w:val="00177DEA"/>
    <w:rPr>
      <w:i/>
      <w:iCs/>
      <w:caps/>
      <w:spacing w:val="10"/>
      <w:sz w:val="18"/>
      <w:szCs w:val="18"/>
    </w:rPr>
  </w:style>
  <w:style w:type="paragraph" w:styleId="Caption">
    <w:name w:val="caption"/>
    <w:basedOn w:val="Normal"/>
    <w:next w:val="Normal"/>
    <w:uiPriority w:val="35"/>
    <w:semiHidden/>
    <w:unhideWhenUsed/>
    <w:qFormat/>
    <w:rsid w:val="00177DEA"/>
    <w:rPr>
      <w:b/>
      <w:bCs/>
      <w:color w:val="2F5496" w:themeColor="accent1" w:themeShade="BF"/>
      <w:sz w:val="16"/>
      <w:szCs w:val="16"/>
    </w:rPr>
  </w:style>
  <w:style w:type="paragraph" w:styleId="Title">
    <w:name w:val="Title"/>
    <w:basedOn w:val="Normal"/>
    <w:next w:val="Normal"/>
    <w:link w:val="TitleChar"/>
    <w:uiPriority w:val="10"/>
    <w:qFormat/>
    <w:rsid w:val="00177DEA"/>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177DEA"/>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177DE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77DEA"/>
    <w:rPr>
      <w:caps/>
      <w:color w:val="595959" w:themeColor="text1" w:themeTint="A6"/>
      <w:spacing w:val="10"/>
      <w:sz w:val="21"/>
      <w:szCs w:val="21"/>
    </w:rPr>
  </w:style>
  <w:style w:type="character" w:styleId="Strong">
    <w:name w:val="Strong"/>
    <w:uiPriority w:val="22"/>
    <w:qFormat/>
    <w:rsid w:val="00177DEA"/>
    <w:rPr>
      <w:b/>
      <w:bCs/>
    </w:rPr>
  </w:style>
  <w:style w:type="character" w:styleId="Emphasis">
    <w:name w:val="Emphasis"/>
    <w:uiPriority w:val="20"/>
    <w:qFormat/>
    <w:rsid w:val="00177DEA"/>
    <w:rPr>
      <w:caps/>
      <w:color w:val="1F3763" w:themeColor="accent1" w:themeShade="7F"/>
      <w:spacing w:val="5"/>
    </w:rPr>
  </w:style>
  <w:style w:type="paragraph" w:styleId="NoSpacing">
    <w:name w:val="No Spacing"/>
    <w:uiPriority w:val="1"/>
    <w:qFormat/>
    <w:rsid w:val="00177DEA"/>
    <w:pPr>
      <w:spacing w:after="0" w:line="240" w:lineRule="auto"/>
    </w:pPr>
  </w:style>
  <w:style w:type="paragraph" w:styleId="Quote">
    <w:name w:val="Quote"/>
    <w:basedOn w:val="Normal"/>
    <w:next w:val="Normal"/>
    <w:link w:val="QuoteChar"/>
    <w:uiPriority w:val="29"/>
    <w:qFormat/>
    <w:rsid w:val="00177DEA"/>
    <w:rPr>
      <w:i/>
      <w:iCs/>
      <w:sz w:val="24"/>
      <w:szCs w:val="24"/>
    </w:rPr>
  </w:style>
  <w:style w:type="character" w:customStyle="1" w:styleId="QuoteChar">
    <w:name w:val="Quote Char"/>
    <w:basedOn w:val="DefaultParagraphFont"/>
    <w:link w:val="Quote"/>
    <w:uiPriority w:val="29"/>
    <w:rsid w:val="00177DEA"/>
    <w:rPr>
      <w:i/>
      <w:iCs/>
      <w:sz w:val="24"/>
      <w:szCs w:val="24"/>
    </w:rPr>
  </w:style>
  <w:style w:type="paragraph" w:styleId="IntenseQuote">
    <w:name w:val="Intense Quote"/>
    <w:basedOn w:val="Normal"/>
    <w:next w:val="Normal"/>
    <w:link w:val="IntenseQuoteChar"/>
    <w:uiPriority w:val="30"/>
    <w:qFormat/>
    <w:rsid w:val="00177DEA"/>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177DEA"/>
    <w:rPr>
      <w:color w:val="4472C4" w:themeColor="accent1"/>
      <w:sz w:val="24"/>
      <w:szCs w:val="24"/>
    </w:rPr>
  </w:style>
  <w:style w:type="character" w:styleId="SubtleEmphasis">
    <w:name w:val="Subtle Emphasis"/>
    <w:uiPriority w:val="19"/>
    <w:qFormat/>
    <w:rsid w:val="00177DEA"/>
    <w:rPr>
      <w:i/>
      <w:iCs/>
      <w:color w:val="1F3763" w:themeColor="accent1" w:themeShade="7F"/>
    </w:rPr>
  </w:style>
  <w:style w:type="character" w:styleId="IntenseEmphasis">
    <w:name w:val="Intense Emphasis"/>
    <w:uiPriority w:val="21"/>
    <w:qFormat/>
    <w:rsid w:val="00177DEA"/>
    <w:rPr>
      <w:b/>
      <w:bCs/>
      <w:caps/>
      <w:color w:val="1F3763" w:themeColor="accent1" w:themeShade="7F"/>
      <w:spacing w:val="10"/>
    </w:rPr>
  </w:style>
  <w:style w:type="character" w:styleId="SubtleReference">
    <w:name w:val="Subtle Reference"/>
    <w:uiPriority w:val="31"/>
    <w:qFormat/>
    <w:rsid w:val="00177DEA"/>
    <w:rPr>
      <w:b/>
      <w:bCs/>
      <w:color w:val="4472C4" w:themeColor="accent1"/>
    </w:rPr>
  </w:style>
  <w:style w:type="character" w:styleId="IntenseReference">
    <w:name w:val="Intense Reference"/>
    <w:uiPriority w:val="32"/>
    <w:qFormat/>
    <w:rsid w:val="00177DEA"/>
    <w:rPr>
      <w:b/>
      <w:bCs/>
      <w:i/>
      <w:iCs/>
      <w:caps/>
      <w:color w:val="4472C4" w:themeColor="accent1"/>
    </w:rPr>
  </w:style>
  <w:style w:type="character" w:styleId="BookTitle">
    <w:name w:val="Book Title"/>
    <w:uiPriority w:val="33"/>
    <w:qFormat/>
    <w:rsid w:val="00177DEA"/>
    <w:rPr>
      <w:b/>
      <w:bCs/>
      <w:i/>
      <w:iCs/>
      <w:spacing w:val="0"/>
    </w:rPr>
  </w:style>
  <w:style w:type="paragraph" w:styleId="TOCHeading">
    <w:name w:val="TOC Heading"/>
    <w:basedOn w:val="Heading1"/>
    <w:next w:val="Normal"/>
    <w:uiPriority w:val="39"/>
    <w:semiHidden/>
    <w:unhideWhenUsed/>
    <w:qFormat/>
    <w:rsid w:val="00177DEA"/>
    <w:pPr>
      <w:outlineLvl w:val="9"/>
    </w:pPr>
  </w:style>
  <w:style w:type="paragraph" w:styleId="Header">
    <w:name w:val="header"/>
    <w:basedOn w:val="Normal"/>
    <w:link w:val="HeaderChar"/>
    <w:uiPriority w:val="99"/>
    <w:unhideWhenUsed/>
    <w:rsid w:val="00B14E3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14E34"/>
  </w:style>
  <w:style w:type="paragraph" w:styleId="Footer">
    <w:name w:val="footer"/>
    <w:basedOn w:val="Normal"/>
    <w:link w:val="FooterChar"/>
    <w:uiPriority w:val="99"/>
    <w:unhideWhenUsed/>
    <w:rsid w:val="00B14E3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14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Hazel</dc:creator>
  <cp:keywords/>
  <dc:description/>
  <cp:lastModifiedBy>James Hazel</cp:lastModifiedBy>
  <cp:revision>3</cp:revision>
  <dcterms:created xsi:type="dcterms:W3CDTF">2023-01-12T14:24:00Z</dcterms:created>
  <dcterms:modified xsi:type="dcterms:W3CDTF">2023-01-12T14:25:00Z</dcterms:modified>
</cp:coreProperties>
</file>